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21F41" w14:textId="4C7C925C" w:rsidR="00D64600" w:rsidRPr="00D64600" w:rsidRDefault="00D64600" w:rsidP="00D64600">
      <w:pPr>
        <w:overflowPunct w:val="0"/>
        <w:autoSpaceDE w:val="0"/>
        <w:autoSpaceDN w:val="0"/>
        <w:adjustRightInd w:val="0"/>
        <w:snapToGrid w:val="0"/>
        <w:jc w:val="left"/>
        <w:textAlignment w:val="baseline"/>
        <w:rPr>
          <w:rFonts w:ascii="Arial" w:hAnsi="Arial" w:cs="Arial"/>
          <w:b/>
          <w:bCs/>
          <w:snapToGrid w:val="0"/>
          <w:kern w:val="0"/>
          <w:sz w:val="28"/>
          <w:szCs w:val="28"/>
        </w:rPr>
      </w:pPr>
      <w:r w:rsidRPr="00D64600">
        <w:rPr>
          <w:rFonts w:ascii="Arial" w:hAnsi="Arial" w:cs="Arial"/>
          <w:b/>
          <w:bCs/>
          <w:snapToGrid w:val="0"/>
          <w:kern w:val="0"/>
          <w:sz w:val="28"/>
          <w:szCs w:val="28"/>
        </w:rPr>
        <w:t>3GPP TSG RAN WG2 Meeting #101                        R2-18020</w:t>
      </w:r>
      <w:r>
        <w:rPr>
          <w:rFonts w:ascii="Arial" w:hAnsi="Arial" w:cs="Arial"/>
          <w:b/>
          <w:bCs/>
          <w:snapToGrid w:val="0"/>
          <w:kern w:val="0"/>
          <w:sz w:val="28"/>
          <w:szCs w:val="28"/>
        </w:rPr>
        <w:t>41</w:t>
      </w:r>
    </w:p>
    <w:p w14:paraId="0884E008" w14:textId="0A05CF98" w:rsidR="009B2835" w:rsidRDefault="00D64600" w:rsidP="00D64600">
      <w:pPr>
        <w:overflowPunct w:val="0"/>
        <w:autoSpaceDE w:val="0"/>
        <w:autoSpaceDN w:val="0"/>
        <w:adjustRightInd w:val="0"/>
        <w:snapToGrid w:val="0"/>
        <w:jc w:val="left"/>
        <w:textAlignment w:val="baseline"/>
        <w:rPr>
          <w:rFonts w:ascii="Arial" w:hAnsi="Arial" w:cs="Arial"/>
          <w:b/>
          <w:bCs/>
          <w:kern w:val="0"/>
          <w:sz w:val="28"/>
          <w:szCs w:val="28"/>
        </w:rPr>
      </w:pPr>
      <w:r w:rsidRPr="00D64600">
        <w:rPr>
          <w:rFonts w:ascii="Arial" w:hAnsi="Arial" w:cs="Arial"/>
          <w:b/>
          <w:bCs/>
          <w:snapToGrid w:val="0"/>
          <w:kern w:val="0"/>
          <w:sz w:val="28"/>
          <w:szCs w:val="28"/>
        </w:rPr>
        <w:t xml:space="preserve">Athens, Greece, 26 February – 2 March 2018                      </w:t>
      </w:r>
      <w:r>
        <w:rPr>
          <w:rFonts w:ascii="Arial" w:hAnsi="Arial" w:cs="Arial"/>
          <w:b/>
          <w:bCs/>
          <w:kern w:val="0"/>
          <w:sz w:val="28"/>
          <w:szCs w:val="28"/>
          <w:lang w:val="en-GB"/>
        </w:rPr>
        <w:tab/>
      </w:r>
      <w:r>
        <w:rPr>
          <w:rFonts w:ascii="Arial" w:hAnsi="Arial" w:cs="Arial"/>
          <w:b/>
          <w:bCs/>
          <w:kern w:val="0"/>
          <w:sz w:val="28"/>
          <w:szCs w:val="28"/>
          <w:lang w:val="en-GB"/>
        </w:rPr>
        <w:tab/>
        <w:t xml:space="preserve">  </w:t>
      </w:r>
    </w:p>
    <w:p w14:paraId="6875F57B" w14:textId="77777777" w:rsidR="009B2835" w:rsidRDefault="00D6460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 Sanechips</w:t>
      </w:r>
    </w:p>
    <w:p w14:paraId="10574F38" w14:textId="77777777" w:rsidR="009B2835" w:rsidRDefault="00D64600">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Enhancements on ANR functionality for eLTE</w:t>
      </w:r>
    </w:p>
    <w:p w14:paraId="0086E187" w14:textId="77777777" w:rsidR="009B2835" w:rsidRDefault="00D6460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hint="eastAsia"/>
          <w:b/>
          <w:bCs/>
          <w:snapToGrid w:val="0"/>
          <w:kern w:val="0"/>
          <w:sz w:val="28"/>
          <w:szCs w:val="28"/>
        </w:rPr>
        <w:t>9.7.2</w:t>
      </w:r>
      <w:bookmarkStart w:id="1" w:name="_GoBack"/>
      <w:bookmarkEnd w:id="1"/>
    </w:p>
    <w:p w14:paraId="5186A4C6" w14:textId="77777777" w:rsidR="009B2835" w:rsidRDefault="00D6460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2" w:name="DocumentFor"/>
      <w:bookmarkEnd w:id="2"/>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14:paraId="356C2AA1" w14:textId="77777777" w:rsidR="009B2835" w:rsidRDefault="00D646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1AC3A9B" w14:textId="77777777" w:rsidR="009B2835" w:rsidRDefault="00D64600">
      <w:r>
        <w:rPr>
          <w:rFonts w:hint="eastAsia"/>
        </w:rPr>
        <w:t>At RAN2 NR Adhoc 201706 the following agreement was made with regards to ANR framework extension.</w:t>
      </w:r>
    </w:p>
    <w:p w14:paraId="1751172A" w14:textId="77777777" w:rsidR="009B2835" w:rsidRDefault="00D64600">
      <w:pPr>
        <w:pBdr>
          <w:top w:val="single" w:sz="4" w:space="0" w:color="auto"/>
          <w:left w:val="single" w:sz="4" w:space="0" w:color="auto"/>
          <w:bottom w:val="single" w:sz="4" w:space="0" w:color="auto"/>
          <w:right w:val="single" w:sz="4" w:space="0" w:color="auto"/>
        </w:pBdr>
      </w:pPr>
      <w:r>
        <w:rPr>
          <w:rFonts w:hint="eastAsia"/>
        </w:rPr>
        <w:t>1</w:t>
      </w:r>
      <w:r>
        <w:rPr>
          <w:rFonts w:hint="eastAsia"/>
        </w:rPr>
        <w:tab/>
      </w:r>
      <w:r>
        <w:rPr>
          <w:rFonts w:hint="eastAsia"/>
          <w:highlight w:val="yellow"/>
        </w:rPr>
        <w:t>LTE inter-RAT ANR framework is extended to cover NR</w:t>
      </w:r>
      <w:r>
        <w:rPr>
          <w:rFonts w:hint="eastAsia"/>
        </w:rPr>
        <w:t xml:space="preserve"> (target to complete this at end of Rel-15, not December 2017)</w:t>
      </w:r>
    </w:p>
    <w:p w14:paraId="1CF26B58" w14:textId="77777777" w:rsidR="009B2835" w:rsidRDefault="00D64600">
      <w:r>
        <w:rPr>
          <w:rFonts w:hint="eastAsia"/>
        </w:rPr>
        <w:t xml:space="preserve">Naturally, with the </w:t>
      </w:r>
      <w:r>
        <w:rPr>
          <w:rFonts w:hint="eastAsia"/>
        </w:rPr>
        <w:t>discussion on LTE connectivity to 5GC, we start to think about the ANR functionality for eLTE. In this contribution we discuss the application and enhancement of ANR functionality for eLTE.</w:t>
      </w:r>
    </w:p>
    <w:p w14:paraId="1B0CD494" w14:textId="77777777" w:rsidR="009B2835" w:rsidRDefault="00D646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p>
    <w:p w14:paraId="564401CA" w14:textId="77777777" w:rsidR="009B2835" w:rsidRDefault="00D64600">
      <w:r>
        <w:rPr>
          <w:rFonts w:hint="eastAsia"/>
        </w:rPr>
        <w:t>As described in [1], the UE tasks to support ANR functi</w:t>
      </w:r>
      <w:r>
        <w:rPr>
          <w:rFonts w:hint="eastAsia"/>
        </w:rPr>
        <w:t>onality in LTE can be summarized in two actions:</w:t>
      </w:r>
    </w:p>
    <w:p w14:paraId="0A057BED" w14:textId="77777777" w:rsidR="009B2835" w:rsidRDefault="00D64600">
      <w:pPr>
        <w:numPr>
          <w:ilvl w:val="0"/>
          <w:numId w:val="4"/>
        </w:numPr>
        <w:ind w:left="840"/>
      </w:pPr>
      <w:r>
        <w:rPr>
          <w:rFonts w:hint="eastAsia"/>
        </w:rPr>
        <w:t>Detect and measure neighbour cells and report them to the network (also those which are unknown to the serving cell),</w:t>
      </w:r>
    </w:p>
    <w:p w14:paraId="0F6FE8E6" w14:textId="77777777" w:rsidR="009B2835" w:rsidRDefault="00D64600">
      <w:pPr>
        <w:numPr>
          <w:ilvl w:val="0"/>
          <w:numId w:val="5"/>
        </w:numPr>
        <w:ind w:left="0" w:firstLine="420"/>
      </w:pPr>
      <w:r>
        <w:rPr>
          <w:rFonts w:hint="eastAsia"/>
        </w:rPr>
        <w:t>Read neighbouring cell</w:t>
      </w:r>
      <w:r>
        <w:rPr>
          <w:rFonts w:hint="eastAsia"/>
        </w:rPr>
        <w:t>’</w:t>
      </w:r>
      <w:r>
        <w:rPr>
          <w:rFonts w:hint="eastAsia"/>
        </w:rPr>
        <w:t xml:space="preserve">s ECGI (or </w:t>
      </w:r>
      <w:proofErr w:type="gramStart"/>
      <w:r>
        <w:rPr>
          <w:rFonts w:hint="eastAsia"/>
        </w:rPr>
        <w:t>other</w:t>
      </w:r>
      <w:proofErr w:type="gramEnd"/>
      <w:r>
        <w:rPr>
          <w:rFonts w:hint="eastAsia"/>
        </w:rPr>
        <w:t xml:space="preserve"> identifier broadcasted by the cell) and report it</w:t>
      </w:r>
      <w:r>
        <w:rPr>
          <w:rFonts w:hint="eastAsia"/>
        </w:rPr>
        <w:t xml:space="preserve"> to the network.</w:t>
      </w:r>
    </w:p>
    <w:p w14:paraId="53468310" w14:textId="77777777" w:rsidR="009B2835" w:rsidRDefault="00D64600">
      <w:r>
        <w:rPr>
          <w:rFonts w:hint="eastAsia"/>
        </w:rPr>
        <w:t xml:space="preserve">The following figure from </w:t>
      </w:r>
      <w:r>
        <w:rPr>
          <w:rFonts w:hint="eastAsia"/>
        </w:rPr>
        <w:fldChar w:fldCharType="begin"/>
      </w:r>
      <w:r>
        <w:rPr>
          <w:rFonts w:hint="eastAsia"/>
        </w:rPr>
        <w:instrText xml:space="preserve"> REF _Ref477512632 \r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illustrates the ANR feature for intra-LTE case.</w:t>
      </w:r>
    </w:p>
    <w:p w14:paraId="531EEFE7" w14:textId="77777777" w:rsidR="009B2835" w:rsidRDefault="00D64600">
      <w:pPr>
        <w:pStyle w:val="TH"/>
        <w:rPr>
          <w:lang w:val="en-GB"/>
        </w:rPr>
      </w:pPr>
      <w:r>
        <w:rPr>
          <w:noProof/>
          <w:lang w:val="en-GB"/>
        </w:rPr>
        <w:lastRenderedPageBreak/>
        <w:drawing>
          <wp:inline distT="0" distB="0" distL="114300" distR="114300" wp14:anchorId="0E8EAC50" wp14:editId="12752DD1">
            <wp:extent cx="5971540" cy="3533140"/>
            <wp:effectExtent l="0" t="0" r="10160" b="1016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5971540" cy="3533140"/>
                    </a:xfrm>
                    <a:prstGeom prst="rect">
                      <a:avLst/>
                    </a:prstGeom>
                    <a:noFill/>
                    <a:ln w="9525">
                      <a:noFill/>
                    </a:ln>
                  </pic:spPr>
                </pic:pic>
              </a:graphicData>
            </a:graphic>
          </wp:inline>
        </w:drawing>
      </w:r>
    </w:p>
    <w:p w14:paraId="64E64AC1" w14:textId="77777777" w:rsidR="009B2835" w:rsidRDefault="00D64600">
      <w:pPr>
        <w:pStyle w:val="TF"/>
        <w:rPr>
          <w:lang w:val="en-US" w:eastAsia="zh-CN"/>
        </w:rPr>
      </w:pPr>
      <w:r>
        <w:t xml:space="preserve">Figure 1: </w:t>
      </w:r>
      <w:r>
        <w:rPr>
          <w:rFonts w:eastAsia="SimSun" w:hint="eastAsia"/>
          <w:lang w:val="en-US" w:eastAsia="zh-CN"/>
        </w:rPr>
        <w:t xml:space="preserve">Intra-LTE </w:t>
      </w:r>
      <w:r>
        <w:t>Automatic Neighbour Relation Function</w:t>
      </w:r>
    </w:p>
    <w:p w14:paraId="71CEC625" w14:textId="77777777" w:rsidR="009B2835" w:rsidRDefault="00D64600">
      <w:r>
        <w:rPr>
          <w:rFonts w:hint="eastAsia"/>
        </w:rPr>
        <w:t>At RAN2#9</w:t>
      </w:r>
      <w:r>
        <w:rPr>
          <w:rFonts w:hint="eastAsia"/>
        </w:rPr>
        <w:t>9, we had the following agreements for LTE connectivity to 5GC:</w:t>
      </w:r>
    </w:p>
    <w:p w14:paraId="24947932" w14:textId="77777777" w:rsidR="009B2835" w:rsidRDefault="00D64600">
      <w:pPr>
        <w:pBdr>
          <w:top w:val="single" w:sz="4" w:space="0" w:color="auto"/>
          <w:left w:val="single" w:sz="4" w:space="0" w:color="auto"/>
          <w:bottom w:val="single" w:sz="4" w:space="0" w:color="auto"/>
          <w:right w:val="single" w:sz="4" w:space="0" w:color="auto"/>
        </w:pBdr>
      </w:pPr>
      <w:r>
        <w:rPr>
          <w:rFonts w:hint="eastAsia"/>
        </w:rPr>
        <w:t>1</w:t>
      </w:r>
      <w:r>
        <w:rPr>
          <w:rFonts w:hint="eastAsia"/>
        </w:rPr>
        <w:tab/>
        <w:t>An LTE ng-eNB can belong to multiple PLMNs and for each PLMN, it can be connected to: (1) EPC only, (2) both EPC and 5GC or (3) 5GC only.</w:t>
      </w:r>
    </w:p>
    <w:p w14:paraId="6EFA4176" w14:textId="77777777" w:rsidR="009B2835" w:rsidRDefault="00D64600">
      <w:r>
        <w:rPr>
          <w:rFonts w:hint="eastAsia"/>
        </w:rPr>
        <w:t>In eLTE, no matter what kind of core network the eNB</w:t>
      </w:r>
      <w:r>
        <w:rPr>
          <w:rFonts w:hint="eastAsia"/>
        </w:rPr>
        <w:t xml:space="preserve"> is connected to, UEs are still under LTE coverage.</w:t>
      </w:r>
    </w:p>
    <w:p w14:paraId="11AE44F4" w14:textId="77777777" w:rsidR="009B2835" w:rsidRDefault="00D64600">
      <w:r>
        <w:t>Current ANR framework can be applied to intra-frequency and inter-frequency reporting for LTE. It can also apply for inter-RAT (UMTS) and WLAN, which was introduced by LWA feature.</w:t>
      </w:r>
      <w:r>
        <w:rPr>
          <w:rFonts w:hint="eastAsia"/>
        </w:rPr>
        <w:t xml:space="preserve"> As agreed at RAN2 NR Ad</w:t>
      </w:r>
      <w:r>
        <w:rPr>
          <w:rFonts w:hint="eastAsia"/>
        </w:rPr>
        <w:t>hoc 201706, LTE ANR framework is also extended to cover NR. When eLTE is deployed, it makes sense to use UEs under LTE coverage to find the relevant neighbouring relations between LTE and eLTE cells. The eLTE cells can support (1) EPC only, (2) both EPC an</w:t>
      </w:r>
      <w:r>
        <w:rPr>
          <w:rFonts w:hint="eastAsia"/>
        </w:rPr>
        <w:t>d 5GC or (3)5GC only.</w:t>
      </w:r>
    </w:p>
    <w:p w14:paraId="65980C7F" w14:textId="77777777" w:rsidR="009B2835" w:rsidRDefault="00D64600">
      <w:r>
        <w:rPr>
          <w:b/>
        </w:rPr>
        <w:t xml:space="preserve">Proposal 1: </w:t>
      </w:r>
      <w:r>
        <w:rPr>
          <w:rFonts w:hint="eastAsia"/>
          <w:b/>
        </w:rPr>
        <w:t>LTE ANR framework is also applied for LTE connectivity to 5GC.</w:t>
      </w:r>
    </w:p>
    <w:p w14:paraId="15244566" w14:textId="77777777" w:rsidR="009B2835" w:rsidRDefault="00D64600">
      <w:r>
        <w:rPr>
          <w:rFonts w:hint="eastAsia"/>
        </w:rPr>
        <w:t xml:space="preserve">In LTE, by instructing UE to </w:t>
      </w:r>
      <w:r>
        <w:t>measure neighbour cells and repor</w:t>
      </w:r>
      <w:r>
        <w:rPr>
          <w:rFonts w:hint="eastAsia"/>
        </w:rPr>
        <w:t>t the ECGI, the eNB can use the PCI and ECGI to set up a new X2 interface towards this eNB.</w:t>
      </w:r>
    </w:p>
    <w:p w14:paraId="2B8704B1" w14:textId="77777777" w:rsidR="009B2835" w:rsidRDefault="00D64600">
      <w:pPr>
        <w:jc w:val="center"/>
      </w:pPr>
      <w:r>
        <w:rPr>
          <w:rFonts w:hint="eastAsia"/>
        </w:rPr>
        <w:object w:dxaOrig="8115" w:dyaOrig="4050" w14:anchorId="346B5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202.55pt" o:ole="">
            <v:imagedata r:id="rId10" o:title=""/>
            <o:lock v:ext="edit" aspectratio="f"/>
          </v:shape>
          <o:OLEObject Type="Embed" ProgID="Visio.Drawing.11" ShapeID="_x0000_i1025" DrawAspect="Content" ObjectID="_1580217422" r:id="rId11"/>
        </w:object>
      </w:r>
    </w:p>
    <w:p w14:paraId="75CBBB56" w14:textId="77777777" w:rsidR="009B2835" w:rsidRDefault="00D64600">
      <w:pPr>
        <w:jc w:val="center"/>
      </w:pPr>
      <w:r>
        <w:rPr>
          <w:rFonts w:hint="eastAsia"/>
        </w:rPr>
        <w:t>Figure 2. An example of applying ANR for eLTE</w:t>
      </w:r>
    </w:p>
    <w:p w14:paraId="23DEC58F" w14:textId="77777777" w:rsidR="009B2835" w:rsidRDefault="00D64600">
      <w:r>
        <w:rPr>
          <w:rFonts w:hint="eastAsia"/>
        </w:rPr>
        <w:t>For example, as shown in Figure 2, the eNB (connected to EPC only) serving cell A has an ANR function. While the neighbouring cell B is a eLTE cell supporting 5GC only. After instructing</w:t>
      </w:r>
      <w:r>
        <w:rPr>
          <w:rFonts w:hint="eastAsia"/>
        </w:rPr>
        <w:t xml:space="preserve"> UE to measure and report ECGI of neighbouring cell B, the eNB may try to set up new X2/Xx interface towards the neighbouring eNB (connected to 5GC only). It is obvious that the setup of X2 interface will fail as we do not support X2 interface between eNB </w:t>
      </w:r>
      <w:r>
        <w:rPr>
          <w:rFonts w:hint="eastAsia"/>
        </w:rPr>
        <w:t>(connected to EPC only) and eLTE eNB (connected to 5GC only). Such attempt and failure can lead to waste of time and resources.</w:t>
      </w:r>
    </w:p>
    <w:p w14:paraId="344DC768" w14:textId="77777777" w:rsidR="009B2835" w:rsidRDefault="00D64600">
      <w:r>
        <w:rPr>
          <w:rFonts w:hint="eastAsia"/>
        </w:rPr>
        <w:t>The situation will get worse if the current ng-eNB is connected to both EPC and 5GC. After knowing the PCI and ECGI of neighbour</w:t>
      </w:r>
      <w:r>
        <w:rPr>
          <w:rFonts w:hint="eastAsia"/>
        </w:rPr>
        <w:t>ing cells, the ng-eNB will try to set up all kinds of Xn/X2/Xx interface and suffer from frequent failure.</w:t>
      </w:r>
    </w:p>
    <w:p w14:paraId="26E7AD0F" w14:textId="77777777" w:rsidR="009B2835" w:rsidRDefault="00D64600">
      <w:r>
        <w:rPr>
          <w:rFonts w:hint="eastAsia"/>
        </w:rPr>
        <w:t>To avoid such failure</w:t>
      </w:r>
      <w:r>
        <w:t>s</w:t>
      </w:r>
      <w:r>
        <w:rPr>
          <w:rFonts w:hint="eastAsia"/>
        </w:rPr>
        <w:t xml:space="preserve"> and reduce waste of time and resources, we suggest </w:t>
      </w:r>
      <w:proofErr w:type="gramStart"/>
      <w:r>
        <w:rPr>
          <w:rFonts w:hint="eastAsia"/>
        </w:rPr>
        <w:t>to enhance</w:t>
      </w:r>
      <w:proofErr w:type="gramEnd"/>
      <w:r>
        <w:rPr>
          <w:rFonts w:hint="eastAsia"/>
        </w:rPr>
        <w:t xml:space="preserve"> the ANR functionality to support CN type report.</w:t>
      </w:r>
    </w:p>
    <w:p w14:paraId="20E6EED8" w14:textId="77777777" w:rsidR="009B2835" w:rsidRDefault="00D64600">
      <w:r>
        <w:rPr>
          <w:rFonts w:hint="eastAsia"/>
        </w:rPr>
        <w:t xml:space="preserve">By adding the </w:t>
      </w:r>
      <w:r>
        <w:rPr>
          <w:rFonts w:hint="eastAsia"/>
        </w:rPr>
        <w:t>CN type in the</w:t>
      </w:r>
      <w:r>
        <w:rPr>
          <w:rFonts w:hint="eastAsia"/>
          <w:b/>
        </w:rPr>
        <w:t xml:space="preserve"> </w:t>
      </w:r>
      <w:r>
        <w:rPr>
          <w:rFonts w:hint="eastAsia"/>
        </w:rPr>
        <w:t>Neighbouring Relation Table (NRT), the serving eNB/ng-eNB can be aware of the CN type supported by neighbouring cells and then try to set up appropriate Xn/X2/Xx interface towards the neighbouring eNB. For the example in Figure 2, the eNB wi</w:t>
      </w:r>
      <w:r>
        <w:rPr>
          <w:rFonts w:hint="eastAsia"/>
        </w:rPr>
        <w:t>ll only try to set up Xx</w:t>
      </w:r>
      <w:r>
        <w:rPr>
          <w:rFonts w:hint="eastAsia"/>
        </w:rPr>
        <w:t>（</w:t>
      </w:r>
      <w:r>
        <w:rPr>
          <w:rFonts w:hint="eastAsia"/>
        </w:rPr>
        <w:t>i.e. EN-DC X</w:t>
      </w:r>
      <w:proofErr w:type="gramStart"/>
      <w:r>
        <w:rPr>
          <w:rFonts w:hint="eastAsia"/>
        </w:rPr>
        <w:t>2 )</w:t>
      </w:r>
      <w:proofErr w:type="gramEnd"/>
      <w:r>
        <w:rPr>
          <w:rFonts w:hint="eastAsia"/>
        </w:rPr>
        <w:t xml:space="preserve"> interface after knowing the ECGI and supported CN type of cell B.</w:t>
      </w:r>
    </w:p>
    <w:p w14:paraId="56659881" w14:textId="77777777" w:rsidR="009B2835" w:rsidRDefault="00D64600">
      <w:r>
        <w:rPr>
          <w:rFonts w:hint="eastAsia"/>
        </w:rPr>
        <w:t>Thus, we have the following proposal:</w:t>
      </w:r>
    </w:p>
    <w:p w14:paraId="12986402" w14:textId="77777777" w:rsidR="009B2835" w:rsidRDefault="00D64600">
      <w:pPr>
        <w:rPr>
          <w:b/>
        </w:rPr>
      </w:pPr>
      <w:r>
        <w:rPr>
          <w:b/>
        </w:rPr>
        <w:t xml:space="preserve">Proposal </w:t>
      </w:r>
      <w:r>
        <w:rPr>
          <w:rFonts w:hint="eastAsia"/>
          <w:b/>
        </w:rPr>
        <w:t>2</w:t>
      </w:r>
      <w:r>
        <w:rPr>
          <w:b/>
        </w:rPr>
        <w:t xml:space="preserve">: </w:t>
      </w:r>
      <w:r>
        <w:rPr>
          <w:rFonts w:hint="eastAsia"/>
          <w:b/>
        </w:rPr>
        <w:t xml:space="preserve">The ANR functionality </w:t>
      </w:r>
      <w:r>
        <w:rPr>
          <w:b/>
        </w:rPr>
        <w:t>should</w:t>
      </w:r>
      <w:r>
        <w:rPr>
          <w:rFonts w:hint="eastAsia"/>
          <w:b/>
        </w:rPr>
        <w:t xml:space="preserve"> be enhanced to support CN type report.</w:t>
      </w:r>
    </w:p>
    <w:p w14:paraId="7B415DB7" w14:textId="77777777" w:rsidR="009B2835" w:rsidRDefault="00D646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14:paraId="15B53024" w14:textId="77777777" w:rsidR="009B2835" w:rsidRDefault="00D64600">
      <w:r>
        <w:t xml:space="preserve">This contribution </w:t>
      </w:r>
      <w:r>
        <w:t>discusses</w:t>
      </w:r>
      <w:r>
        <w:rPr>
          <w:rFonts w:hint="eastAsia"/>
        </w:rPr>
        <w:t xml:space="preserve"> the application and enhancements of ANR functionality for eLTE. We have the following proposals:</w:t>
      </w:r>
    </w:p>
    <w:p w14:paraId="630495E4" w14:textId="77777777" w:rsidR="009B2835" w:rsidRDefault="00D64600">
      <w:pPr>
        <w:rPr>
          <w:b/>
        </w:rPr>
      </w:pPr>
      <w:r>
        <w:rPr>
          <w:b/>
        </w:rPr>
        <w:t xml:space="preserve">Proposal 1: </w:t>
      </w:r>
      <w:r>
        <w:rPr>
          <w:rFonts w:hint="eastAsia"/>
          <w:b/>
        </w:rPr>
        <w:t>LTE ANR framework is also applied for LTE connectivity to 5GC.</w:t>
      </w:r>
    </w:p>
    <w:p w14:paraId="41F72A3D" w14:textId="77777777" w:rsidR="009B2835" w:rsidRDefault="00D64600">
      <w:pPr>
        <w:rPr>
          <w:b/>
        </w:rPr>
      </w:pPr>
      <w:r>
        <w:rPr>
          <w:b/>
        </w:rPr>
        <w:lastRenderedPageBreak/>
        <w:t xml:space="preserve">Proposal </w:t>
      </w:r>
      <w:r>
        <w:rPr>
          <w:rFonts w:hint="eastAsia"/>
          <w:b/>
        </w:rPr>
        <w:t>2</w:t>
      </w:r>
      <w:r>
        <w:rPr>
          <w:b/>
        </w:rPr>
        <w:t xml:space="preserve">: </w:t>
      </w:r>
      <w:r>
        <w:rPr>
          <w:rFonts w:hint="eastAsia"/>
          <w:b/>
        </w:rPr>
        <w:t xml:space="preserve">The ANR functionality </w:t>
      </w:r>
      <w:r>
        <w:rPr>
          <w:b/>
        </w:rPr>
        <w:t>should</w:t>
      </w:r>
      <w:r>
        <w:rPr>
          <w:rFonts w:hint="eastAsia"/>
          <w:b/>
        </w:rPr>
        <w:t xml:space="preserve"> be enhanced to support CN type re</w:t>
      </w:r>
      <w:r>
        <w:rPr>
          <w:rFonts w:hint="eastAsia"/>
          <w:b/>
        </w:rPr>
        <w:t>port.</w:t>
      </w:r>
    </w:p>
    <w:p w14:paraId="421C3AE7" w14:textId="77777777" w:rsidR="009B2835" w:rsidRDefault="00D646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500C9A77" w14:textId="77777777" w:rsidR="009B2835" w:rsidRDefault="00D64600">
      <w:pPr>
        <w:numPr>
          <w:ilvl w:val="0"/>
          <w:numId w:val="6"/>
        </w:numPr>
        <w:overflowPunct w:val="0"/>
        <w:autoSpaceDE w:val="0"/>
        <w:autoSpaceDN w:val="0"/>
        <w:adjustRightInd w:val="0"/>
        <w:textAlignment w:val="baseline"/>
        <w:rPr>
          <w:b/>
        </w:rPr>
      </w:pPr>
      <w:bookmarkStart w:id="3" w:name="_Ref477512632"/>
      <w:r>
        <w:t>3GPP TS 36.300</w:t>
      </w:r>
      <w:bookmarkEnd w:id="3"/>
    </w:p>
    <w:sectPr w:rsidR="009B2835">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74458" w14:textId="77777777" w:rsidR="00000000" w:rsidRDefault="00D64600">
      <w:pPr>
        <w:spacing w:after="0" w:line="240" w:lineRule="auto"/>
      </w:pPr>
      <w:r>
        <w:separator/>
      </w:r>
    </w:p>
  </w:endnote>
  <w:endnote w:type="continuationSeparator" w:id="0">
    <w:p w14:paraId="377579DA" w14:textId="77777777" w:rsidR="00000000" w:rsidRDefault="00D6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5304D" w14:textId="77777777" w:rsidR="009B2835" w:rsidRDefault="00D646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4AD815" w14:textId="77777777" w:rsidR="009B2835" w:rsidRDefault="009B28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2FEF4" w14:textId="77777777" w:rsidR="009B2835" w:rsidRDefault="009B2835">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96F5F" w14:textId="77777777" w:rsidR="00000000" w:rsidRDefault="00D64600">
      <w:pPr>
        <w:spacing w:after="0" w:line="240" w:lineRule="auto"/>
      </w:pPr>
      <w:r>
        <w:separator/>
      </w:r>
    </w:p>
  </w:footnote>
  <w:footnote w:type="continuationSeparator" w:id="0">
    <w:p w14:paraId="0DD77EA3" w14:textId="77777777" w:rsidR="00000000" w:rsidRDefault="00D64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8E06F" w14:textId="77777777" w:rsidR="009B2835" w:rsidRDefault="009B283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589EA6"/>
    <w:multiLevelType w:val="singleLevel"/>
    <w:tmpl w:val="BA589EA6"/>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B7FE513"/>
    <w:multiLevelType w:val="singleLevel"/>
    <w:tmpl w:val="1B7FE513"/>
    <w:lvl w:ilvl="0">
      <w:start w:val="1"/>
      <w:numFmt w:val="bullet"/>
      <w:lvlText w:val=""/>
      <w:lvlJc w:val="left"/>
      <w:pPr>
        <w:ind w:left="420" w:hanging="42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6E3D"/>
    <w:rsid w:val="000563ED"/>
    <w:rsid w:val="00057BD2"/>
    <w:rsid w:val="0007093A"/>
    <w:rsid w:val="0007205B"/>
    <w:rsid w:val="000755A8"/>
    <w:rsid w:val="00076B12"/>
    <w:rsid w:val="0007731E"/>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16138"/>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D3446"/>
    <w:rsid w:val="001D7FA6"/>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46A5"/>
    <w:rsid w:val="00305358"/>
    <w:rsid w:val="0030650B"/>
    <w:rsid w:val="003110B2"/>
    <w:rsid w:val="00312C1A"/>
    <w:rsid w:val="00312DD1"/>
    <w:rsid w:val="00313308"/>
    <w:rsid w:val="003144CA"/>
    <w:rsid w:val="003171FD"/>
    <w:rsid w:val="00321077"/>
    <w:rsid w:val="00321485"/>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42C7"/>
    <w:rsid w:val="003D7765"/>
    <w:rsid w:val="003E1518"/>
    <w:rsid w:val="003E42F6"/>
    <w:rsid w:val="003E48E7"/>
    <w:rsid w:val="003E5784"/>
    <w:rsid w:val="003E6BF7"/>
    <w:rsid w:val="003E7C95"/>
    <w:rsid w:val="003E7D68"/>
    <w:rsid w:val="003F1437"/>
    <w:rsid w:val="003F3365"/>
    <w:rsid w:val="003F39E3"/>
    <w:rsid w:val="003F448B"/>
    <w:rsid w:val="003F58F6"/>
    <w:rsid w:val="003F6316"/>
    <w:rsid w:val="003F7CD4"/>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71D2"/>
    <w:rsid w:val="00537528"/>
    <w:rsid w:val="00542ED7"/>
    <w:rsid w:val="00545A76"/>
    <w:rsid w:val="00546825"/>
    <w:rsid w:val="005506C7"/>
    <w:rsid w:val="005514AA"/>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0F4"/>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8621E"/>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2BE1"/>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154"/>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19DB"/>
    <w:rsid w:val="00872250"/>
    <w:rsid w:val="008731B8"/>
    <w:rsid w:val="00873D16"/>
    <w:rsid w:val="00880F6C"/>
    <w:rsid w:val="008855E2"/>
    <w:rsid w:val="00886521"/>
    <w:rsid w:val="00887F76"/>
    <w:rsid w:val="00892EBF"/>
    <w:rsid w:val="008937A3"/>
    <w:rsid w:val="0089509A"/>
    <w:rsid w:val="00895652"/>
    <w:rsid w:val="008A4FE1"/>
    <w:rsid w:val="008A5E28"/>
    <w:rsid w:val="008B4198"/>
    <w:rsid w:val="008B4609"/>
    <w:rsid w:val="008B725C"/>
    <w:rsid w:val="008C1D6D"/>
    <w:rsid w:val="008C3F98"/>
    <w:rsid w:val="008C594A"/>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421A"/>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2835"/>
    <w:rsid w:val="009B3DB8"/>
    <w:rsid w:val="009B4769"/>
    <w:rsid w:val="009C2086"/>
    <w:rsid w:val="009C3006"/>
    <w:rsid w:val="009D159F"/>
    <w:rsid w:val="009D2A16"/>
    <w:rsid w:val="009D6952"/>
    <w:rsid w:val="009E068F"/>
    <w:rsid w:val="009E1B89"/>
    <w:rsid w:val="009E2B9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3060"/>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26FC3"/>
    <w:rsid w:val="00B41694"/>
    <w:rsid w:val="00B425D5"/>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0A16"/>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2C6B"/>
    <w:rsid w:val="00CC58C3"/>
    <w:rsid w:val="00CC614E"/>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4600"/>
    <w:rsid w:val="00D672D6"/>
    <w:rsid w:val="00D67D4A"/>
    <w:rsid w:val="00D70B9D"/>
    <w:rsid w:val="00D72B46"/>
    <w:rsid w:val="00D75D2E"/>
    <w:rsid w:val="00D806A3"/>
    <w:rsid w:val="00D81BAC"/>
    <w:rsid w:val="00D83149"/>
    <w:rsid w:val="00D83173"/>
    <w:rsid w:val="00D8380A"/>
    <w:rsid w:val="00D85273"/>
    <w:rsid w:val="00D90CC5"/>
    <w:rsid w:val="00D92C6A"/>
    <w:rsid w:val="00D95A37"/>
    <w:rsid w:val="00DA12AB"/>
    <w:rsid w:val="00DB3689"/>
    <w:rsid w:val="00DB3767"/>
    <w:rsid w:val="00DB39E0"/>
    <w:rsid w:val="00DB7729"/>
    <w:rsid w:val="00DC22BE"/>
    <w:rsid w:val="00DC551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AAD"/>
    <w:rsid w:val="00FF29CE"/>
    <w:rsid w:val="00FF2E7C"/>
    <w:rsid w:val="00FF33F4"/>
    <w:rsid w:val="00FF3FC8"/>
    <w:rsid w:val="01B569D4"/>
    <w:rsid w:val="02B72DE8"/>
    <w:rsid w:val="03250D7A"/>
    <w:rsid w:val="04D0611A"/>
    <w:rsid w:val="06C262FF"/>
    <w:rsid w:val="0A5C0EEA"/>
    <w:rsid w:val="0F2A0F5B"/>
    <w:rsid w:val="0F474BFD"/>
    <w:rsid w:val="121E362A"/>
    <w:rsid w:val="158C2900"/>
    <w:rsid w:val="15A0355A"/>
    <w:rsid w:val="15CA7CFD"/>
    <w:rsid w:val="15FC6282"/>
    <w:rsid w:val="16AB5261"/>
    <w:rsid w:val="18931322"/>
    <w:rsid w:val="1A0D7496"/>
    <w:rsid w:val="1B3D3889"/>
    <w:rsid w:val="1C4D7D5B"/>
    <w:rsid w:val="1D7672BB"/>
    <w:rsid w:val="1DB4432E"/>
    <w:rsid w:val="1F19406B"/>
    <w:rsid w:val="231A3FDA"/>
    <w:rsid w:val="23AF7868"/>
    <w:rsid w:val="2436181B"/>
    <w:rsid w:val="275B5D27"/>
    <w:rsid w:val="28EA77B2"/>
    <w:rsid w:val="2A031E09"/>
    <w:rsid w:val="2C224752"/>
    <w:rsid w:val="2C83031C"/>
    <w:rsid w:val="2CB65480"/>
    <w:rsid w:val="2ED71D8C"/>
    <w:rsid w:val="31B5737C"/>
    <w:rsid w:val="33D25BC0"/>
    <w:rsid w:val="36B25CBF"/>
    <w:rsid w:val="37436584"/>
    <w:rsid w:val="374B400E"/>
    <w:rsid w:val="37530E4A"/>
    <w:rsid w:val="3AFC224B"/>
    <w:rsid w:val="438121BC"/>
    <w:rsid w:val="44C70D28"/>
    <w:rsid w:val="44F353B9"/>
    <w:rsid w:val="4682479A"/>
    <w:rsid w:val="4ACB6FBA"/>
    <w:rsid w:val="4DFB26FD"/>
    <w:rsid w:val="50B5695B"/>
    <w:rsid w:val="50C35BA7"/>
    <w:rsid w:val="532512D2"/>
    <w:rsid w:val="53E16FC1"/>
    <w:rsid w:val="569E52DF"/>
    <w:rsid w:val="5AC15EA8"/>
    <w:rsid w:val="619C6A50"/>
    <w:rsid w:val="61CB5BFF"/>
    <w:rsid w:val="62163074"/>
    <w:rsid w:val="65A574C8"/>
    <w:rsid w:val="69797C2C"/>
    <w:rsid w:val="69E50338"/>
    <w:rsid w:val="6B0174F4"/>
    <w:rsid w:val="6CC56E1D"/>
    <w:rsid w:val="6D3F4C95"/>
    <w:rsid w:val="6EB754B9"/>
    <w:rsid w:val="70EA62B5"/>
    <w:rsid w:val="72114309"/>
    <w:rsid w:val="739968B9"/>
    <w:rsid w:val="73FB7CEB"/>
    <w:rsid w:val="74485022"/>
    <w:rsid w:val="79567D10"/>
    <w:rsid w:val="7BCB117F"/>
    <w:rsid w:val="7C7E39CE"/>
    <w:rsid w:val="7FE62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2FEA40"/>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qFormat/>
    <w:pPr>
      <w:ind w:firstLineChars="200" w:firstLine="200"/>
    </w:pPr>
    <w:rPr>
      <w:rFonts w:ascii="SimSun"/>
      <w:sz w:val="18"/>
      <w:szCs w:val="18"/>
      <w:lang w:val="en-US" w:eastAsia="zh-CN"/>
    </w:rPr>
  </w:style>
  <w:style w:type="paragraph" w:customStyle="1" w:styleId="a7">
    <w:name w:val="附录数字编号列项（二级）"/>
    <w:qFormat/>
    <w:pPr>
      <w:tabs>
        <w:tab w:val="left" w:pos="363"/>
        <w:tab w:val="left" w:pos="840"/>
      </w:tabs>
      <w:ind w:firstLine="363"/>
    </w:pPr>
    <w:rPr>
      <w:rFonts w:ascii="SimSu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sz w:val="21"/>
      <w:lang w:val="en-US" w:eastAsia="zh-CN"/>
    </w:rPr>
  </w:style>
  <w:style w:type="paragraph" w:customStyle="1" w:styleId="affff0">
    <w:name w:val="附录字母编号列项（一级）"/>
    <w:qFormat/>
    <w:pPr>
      <w:tabs>
        <w:tab w:val="left" w:pos="839"/>
      </w:tabs>
      <w:ind w:firstLine="363"/>
    </w:pPr>
    <w:rPr>
      <w:rFonts w:ascii="SimSu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ListParagraph1">
    <w:name w:val="List Paragraph1"/>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05F02D-3F53-4C14-8235-F5F246FA2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608</Words>
  <Characters>3468</Characters>
  <Application>Microsoft Office Word</Application>
  <DocSecurity>0</DocSecurity>
  <Lines>28</Lines>
  <Paragraphs>8</Paragraphs>
  <ScaleCrop>false</ScaleCrop>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33</cp:revision>
  <cp:lastPrinted>2113-01-01T00:00:00Z</cp:lastPrinted>
  <dcterms:created xsi:type="dcterms:W3CDTF">2017-11-02T12:11:00Z</dcterms:created>
  <dcterms:modified xsi:type="dcterms:W3CDTF">2018-02-15T16:30:00Z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